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67FB25">
      <w:pPr>
        <w:pageBreakBefore w:val="0"/>
        <w:widowControl w:val="0"/>
        <w:numPr>
          <w:numId w:val="0"/>
        </w:numPr>
        <w:kinsoku/>
        <w:overflowPunct/>
        <w:topLinePunct w:val="0"/>
        <w:autoSpaceDE/>
        <w:autoSpaceDN/>
        <w:bidi w:val="0"/>
        <w:spacing w:line="560" w:lineRule="exact"/>
        <w:jc w:val="center"/>
        <w:outlineLvl w:val="0"/>
        <w:rPr>
          <w:rFonts w:hint="default" w:ascii="仿宋_GB2312" w:hAnsi="仿宋_GB2312" w:eastAsia="仿宋_GB2312" w:cs="仿宋_GB2312"/>
          <w:b/>
          <w:bCs/>
          <w:color w:val="auto"/>
          <w:sz w:val="28"/>
          <w:szCs w:val="28"/>
          <w:highlight w:val="none"/>
          <w:lang w:val="en-US" w:eastAsia="zh-CN"/>
        </w:rPr>
      </w:pPr>
      <w:bookmarkStart w:id="0" w:name="_GoBack"/>
      <w:r>
        <w:rPr>
          <w:rFonts w:hint="eastAsia" w:ascii="仿宋_GB2312" w:hAnsi="仿宋_GB2312" w:eastAsia="仿宋_GB2312" w:cs="仿宋_GB2312"/>
          <w:b/>
          <w:bCs/>
          <w:color w:val="auto"/>
          <w:sz w:val="28"/>
          <w:szCs w:val="28"/>
          <w:highlight w:val="none"/>
          <w:lang w:val="en-US" w:eastAsia="zh-CN"/>
        </w:rPr>
        <w:t>采购项目基本情况</w:t>
      </w:r>
    </w:p>
    <w:bookmarkEnd w:id="0"/>
    <w:p w14:paraId="54DD66E0">
      <w:pPr>
        <w:pStyle w:val="6"/>
        <w:pageBreakBefore w:val="0"/>
        <w:widowControl w:val="0"/>
        <w:numPr>
          <w:ilvl w:val="4"/>
          <w:numId w:val="0"/>
        </w:numPr>
        <w:kinsoku/>
        <w:wordWrap/>
        <w:overflowPunct/>
        <w:topLinePunct w:val="0"/>
        <w:autoSpaceDE/>
        <w:autoSpaceDN/>
        <w:bidi w:val="0"/>
        <w:snapToGrid/>
        <w:spacing w:line="560" w:lineRule="exact"/>
        <w:ind w:left="0" w:leftChars="0" w:firstLine="560"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标注“▲”的条款为本项目的实质性要求，实质性要求负偏离的响应文件视为无效响应。</w:t>
      </w:r>
    </w:p>
    <w:p w14:paraId="6A431B57">
      <w:pPr>
        <w:pageBreakBefore w:val="0"/>
        <w:widowControl w:val="0"/>
        <w:numPr>
          <w:ilvl w:val="0"/>
          <w:numId w:val="0"/>
        </w:numPr>
        <w:kinsoku/>
        <w:overflowPunct/>
        <w:topLinePunct w:val="0"/>
        <w:autoSpaceDE/>
        <w:autoSpaceDN/>
        <w:bidi w:val="0"/>
        <w:spacing w:line="560" w:lineRule="exact"/>
        <w:ind w:firstLine="562" w:firstLineChars="200"/>
        <w:jc w:val="both"/>
        <w:outlineLvl w:val="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1.服务要求</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2B16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1192309A">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1.1</w:t>
            </w:r>
            <w:r>
              <w:rPr>
                <w:rFonts w:hint="eastAsia" w:ascii="仿宋_GB2312" w:hAnsi="仿宋_GB2312" w:eastAsia="仿宋_GB2312" w:cs="仿宋_GB2312"/>
                <w:color w:val="auto"/>
                <w:sz w:val="28"/>
                <w:szCs w:val="28"/>
                <w:highlight w:val="none"/>
              </w:rPr>
              <w:t>因车辆本身问题或自然原因导致车辆不能继续使用的情况，</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应及时与</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rPr>
              <w:t>协商就近维修或确实无法维修的当即免费更换相同档次和新旧的车辆为</w:t>
            </w:r>
            <w:r>
              <w:rPr>
                <w:rFonts w:hint="eastAsia" w:ascii="仿宋_GB2312" w:hAnsi="仿宋_GB2312" w:eastAsia="仿宋_GB2312" w:cs="仿宋_GB2312"/>
                <w:color w:val="auto"/>
                <w:sz w:val="28"/>
                <w:szCs w:val="28"/>
                <w:highlight w:val="none"/>
                <w:lang w:val="en-US" w:eastAsia="zh-CN"/>
              </w:rPr>
              <w:t>采购人</w:t>
            </w:r>
            <w:r>
              <w:rPr>
                <w:rFonts w:hint="eastAsia" w:ascii="仿宋_GB2312" w:hAnsi="仿宋_GB2312" w:eastAsia="仿宋_GB2312" w:cs="仿宋_GB2312"/>
                <w:color w:val="auto"/>
                <w:sz w:val="28"/>
                <w:szCs w:val="28"/>
                <w:highlight w:val="none"/>
              </w:rPr>
              <w:t>服务。</w:t>
            </w:r>
            <w:r>
              <w:rPr>
                <w:rFonts w:hint="eastAsia" w:ascii="仿宋_GB2312" w:hAnsi="仿宋_GB2312" w:eastAsia="仿宋_GB2312" w:cs="仿宋_GB2312"/>
                <w:color w:val="auto"/>
                <w:sz w:val="28"/>
                <w:szCs w:val="28"/>
                <w:highlight w:val="none"/>
                <w:lang w:val="en-US" w:eastAsia="zh-CN"/>
              </w:rPr>
              <w:t>车辆出现事故或损伤，甲方应及时通知乙方，乙方应协助甲方处理并善后工作，若因乙方配合问题造成保险无法理赔的，甲方不承担</w:t>
            </w:r>
            <w:r>
              <w:rPr>
                <w:rFonts w:hint="eastAsia" w:ascii="仿宋_GB2312" w:hAnsi="仿宋_GB2312" w:eastAsia="仿宋_GB2312" w:cs="仿宋_GB2312"/>
                <w:color w:val="auto"/>
                <w:sz w:val="28"/>
                <w:szCs w:val="28"/>
                <w:highlight w:val="none"/>
              </w:rPr>
              <w:t>由此产生的一切费用，包括但不限于维修费、</w:t>
            </w:r>
            <w:r>
              <w:rPr>
                <w:rFonts w:hint="eastAsia" w:ascii="仿宋_GB2312" w:hAnsi="仿宋_GB2312" w:eastAsia="仿宋_GB2312" w:cs="仿宋_GB2312"/>
                <w:color w:val="auto"/>
                <w:sz w:val="28"/>
                <w:szCs w:val="28"/>
                <w:highlight w:val="none"/>
                <w:lang w:val="en-US" w:eastAsia="zh-CN"/>
              </w:rPr>
              <w:t>折旧费、</w:t>
            </w:r>
            <w:r>
              <w:rPr>
                <w:rFonts w:hint="eastAsia" w:ascii="仿宋_GB2312" w:hAnsi="仿宋_GB2312" w:eastAsia="仿宋_GB2312" w:cs="仿宋_GB2312"/>
                <w:color w:val="auto"/>
                <w:sz w:val="28"/>
                <w:szCs w:val="28"/>
                <w:highlight w:val="none"/>
              </w:rPr>
              <w:t>车辆更换产生的费用由</w:t>
            </w:r>
            <w:r>
              <w:rPr>
                <w:rFonts w:hint="eastAsia" w:ascii="仿宋_GB2312" w:hAnsi="仿宋_GB2312" w:eastAsia="仿宋_GB2312" w:cs="仿宋_GB2312"/>
                <w:color w:val="auto"/>
                <w:sz w:val="28"/>
                <w:szCs w:val="28"/>
                <w:highlight w:val="none"/>
                <w:lang w:val="en-US" w:eastAsia="zh-CN"/>
              </w:rPr>
              <w:t>供应商</w:t>
            </w:r>
            <w:r>
              <w:rPr>
                <w:rFonts w:hint="eastAsia" w:ascii="仿宋_GB2312" w:hAnsi="仿宋_GB2312" w:eastAsia="仿宋_GB2312" w:cs="仿宋_GB2312"/>
                <w:color w:val="auto"/>
                <w:sz w:val="28"/>
                <w:szCs w:val="28"/>
                <w:highlight w:val="none"/>
              </w:rPr>
              <w:t>承担。</w:t>
            </w:r>
          </w:p>
        </w:tc>
      </w:tr>
      <w:tr w14:paraId="3F73F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1E30D046">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1.2车辆出现事故或损伤，采购人应及时通知供应商，供应商应及时协助采购人处理并善后工作，若因供应商配合问题造成保险无法理赔的，由此产生的一切费用，包括但不限于维修费、折旧费、车辆更换产生的费用由供应商承担。</w:t>
            </w:r>
          </w:p>
        </w:tc>
      </w:tr>
      <w:tr w14:paraId="42D97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6EC824F3">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kern w:val="0"/>
                <w:sz w:val="28"/>
                <w:szCs w:val="28"/>
                <w:highlight w:val="none"/>
                <w:lang w:val="en-US"/>
              </w:rPr>
            </w:pPr>
            <w:r>
              <w:rPr>
                <w:rFonts w:hint="eastAsia" w:ascii="仿宋_GB2312" w:hAnsi="仿宋_GB2312" w:eastAsia="仿宋_GB2312" w:cs="仿宋_GB2312"/>
                <w:color w:val="auto"/>
                <w:sz w:val="28"/>
                <w:szCs w:val="28"/>
                <w:highlight w:val="none"/>
                <w:lang w:val="en-US" w:eastAsia="zh-CN"/>
              </w:rPr>
              <w:t>1.3成都市绕城内免费提供取送车、换车服务，采购人可指定送还车地点。</w:t>
            </w:r>
          </w:p>
        </w:tc>
      </w:tr>
      <w:tr w14:paraId="76C7A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3C72826F">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lang w:val="en-US" w:eastAsia="zh-CN"/>
              </w:rPr>
              <w:t>1.4供应商保证采购人需求车辆充足，合同期内随时满足采购人的用车需求，按照采购人需求车型提供，提供替代车型时，车型要实质性相当于或高于采购人需求车型标准，费用标准不变。短租车辆遇政府限行的情况时，供应商须按采购人要求提前更换限行的临租车辆。</w:t>
            </w:r>
          </w:p>
        </w:tc>
      </w:tr>
      <w:tr w14:paraId="30026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631CC4EC">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sz w:val="28"/>
                <w:szCs w:val="28"/>
                <w:highlight w:val="none"/>
                <w:lang w:val="en-US" w:eastAsia="zh-CN"/>
              </w:rPr>
              <w:t>1.5用车响应时间（指提出用车需求到车辆送达的时间，以工作日工作时段导航显示时间作为参考）：正常情况下1天内或按协商时间送达，紧急情况下0.5小时送达。</w:t>
            </w:r>
          </w:p>
        </w:tc>
      </w:tr>
      <w:tr w14:paraId="0D317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0B56978F">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b w:val="0"/>
                <w:bCs/>
                <w:sz w:val="28"/>
                <w:szCs w:val="28"/>
                <w:highlight w:val="none"/>
                <w:lang w:val="en-US" w:eastAsia="zh-CN"/>
              </w:rPr>
              <w:t>▲</w:t>
            </w:r>
            <w:r>
              <w:rPr>
                <w:rFonts w:hint="eastAsia" w:ascii="仿宋_GB2312" w:hAnsi="仿宋_GB2312" w:eastAsia="仿宋_GB2312" w:cs="仿宋_GB2312"/>
                <w:color w:val="auto"/>
                <w:sz w:val="28"/>
                <w:szCs w:val="28"/>
                <w:highlight w:val="none"/>
                <w:lang w:val="en-US" w:eastAsia="zh-CN"/>
              </w:rPr>
              <w:t>1.6提供车辆含第三责任险、交强险、车辆车损险。</w:t>
            </w:r>
          </w:p>
        </w:tc>
      </w:tr>
      <w:tr w14:paraId="27EE1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2DE05B3F">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1.7如果采购人有高频率临租车需求时，可按照采购人要求长期停放两台需求车在采购人院内，费用以采购人实际用车时间结算。</w:t>
            </w:r>
          </w:p>
        </w:tc>
      </w:tr>
      <w:tr w14:paraId="2036A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66F110C6">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1.8采购人不定期对供应商阶段服务情况考核，若出现不履行合同约定或在合作过程中收到使用部门有效投诉的，供应商需支付违约金500元/次，违约情节严重的，采购人可解除合同，并不承担任何违约责任。</w:t>
            </w:r>
          </w:p>
        </w:tc>
      </w:tr>
      <w:tr w14:paraId="461B7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05D84D42">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1.9供应商提供车辆登记时间不超过3年，若发现送租车辆有明显安全隐患（包括但不限于调公里表、大修过等情况），采购人有权终止合同，由此此造成采购人经营、人员事故的，一切法律和赔付责任由供应商承担。</w:t>
            </w:r>
          </w:p>
        </w:tc>
      </w:tr>
      <w:tr w14:paraId="2013E3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5119809A">
            <w:pPr>
              <w:pStyle w:val="9"/>
              <w:numPr>
                <w:ilvl w:val="-1"/>
                <w:numId w:val="0"/>
              </w:numPr>
              <w:snapToGrid w:val="0"/>
              <w:spacing w:line="508" w:lineRule="exact"/>
              <w:ind w:firstLine="0" w:firstLineChars="0"/>
              <w:jc w:val="left"/>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1.10提供车辆带行车记录仪，接受不满油还车，费用按供应商取车后实际加油金额据实结算，供应商向采购人开具等额发票。</w:t>
            </w:r>
          </w:p>
        </w:tc>
      </w:tr>
      <w:tr w14:paraId="096A4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0B481436">
            <w:pPr>
              <w:pStyle w:val="9"/>
              <w:numPr>
                <w:ilvl w:val="-1"/>
                <w:numId w:val="0"/>
              </w:numPr>
              <w:snapToGrid w:val="0"/>
              <w:spacing w:line="508" w:lineRule="exact"/>
              <w:ind w:firstLine="0" w:firstLine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1.11供应商应固定1-2名对接人，且保持沟通顺畅，不得随意调换对接人，确因需要调动更换的应提前告知并争得采购人同意；若采购人对供应商安排的对接人不满意，采购人有权要求供应商更换对接人。</w:t>
            </w:r>
          </w:p>
        </w:tc>
      </w:tr>
      <w:tr w14:paraId="0AB85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5000" w:type="pct"/>
            <w:vAlign w:val="center"/>
          </w:tcPr>
          <w:p w14:paraId="13FEA745">
            <w:pPr>
              <w:pStyle w:val="9"/>
              <w:numPr>
                <w:ilvl w:val="-1"/>
                <w:numId w:val="0"/>
              </w:numPr>
              <w:snapToGrid w:val="0"/>
              <w:spacing w:line="508" w:lineRule="exact"/>
              <w:ind w:firstLine="0" w:firstLineChars="0"/>
              <w:jc w:val="left"/>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1.12可根据采购人用车需求，配置防滑链。</w:t>
            </w:r>
          </w:p>
        </w:tc>
      </w:tr>
    </w:tbl>
    <w:p w14:paraId="022737DA">
      <w:pPr>
        <w:adjustRightInd w:val="0"/>
        <w:snapToGrid w:val="0"/>
        <w:spacing w:line="560" w:lineRule="exact"/>
        <w:ind w:firstLine="562"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2.商务要求</w:t>
      </w:r>
    </w:p>
    <w:p w14:paraId="15E3098B">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sz w:val="28"/>
          <w:szCs w:val="32"/>
          <w:highlight w:val="none"/>
          <w:lang w:val="en-US" w:eastAsia="zh-CN"/>
        </w:rPr>
        <w:t>▲</w:t>
      </w:r>
      <w:r>
        <w:rPr>
          <w:rFonts w:hint="eastAsia" w:ascii="仿宋_GB2312" w:hAnsi="仿宋_GB2312" w:eastAsia="仿宋_GB2312" w:cs="仿宋_GB2312"/>
          <w:color w:val="auto"/>
          <w:sz w:val="28"/>
          <w:szCs w:val="28"/>
          <w:highlight w:val="none"/>
          <w:lang w:val="en-US" w:eastAsia="zh-CN"/>
        </w:rPr>
        <w:t>2.1</w:t>
      </w:r>
      <w:r>
        <w:rPr>
          <w:rFonts w:hint="eastAsia" w:ascii="仿宋_GB2312" w:hAnsi="仿宋_GB2312" w:eastAsia="仿宋_GB2312" w:cs="仿宋_GB2312"/>
          <w:color w:val="auto"/>
          <w:sz w:val="28"/>
          <w:szCs w:val="28"/>
          <w:highlight w:val="none"/>
        </w:rPr>
        <w:t>本项目供应商所报车辆租金为包含税费、服务费以及车辆保险、保养、年检、磨损等费用的综合价格，以天或月为单位报价；</w:t>
      </w:r>
    </w:p>
    <w:p w14:paraId="1D7A8D2D">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sz w:val="28"/>
          <w:szCs w:val="32"/>
          <w:highlight w:val="none"/>
          <w:lang w:val="en-US" w:eastAsia="zh-CN"/>
        </w:rPr>
        <w:t>▲</w:t>
      </w:r>
      <w:r>
        <w:rPr>
          <w:rFonts w:hint="eastAsia" w:ascii="仿宋_GB2312" w:hAnsi="仿宋_GB2312" w:eastAsia="仿宋_GB2312" w:cs="仿宋_GB2312"/>
          <w:color w:val="auto"/>
          <w:sz w:val="28"/>
          <w:szCs w:val="28"/>
          <w:highlight w:val="none"/>
          <w:lang w:val="en-US" w:eastAsia="zh-CN"/>
        </w:rPr>
        <w:t>2.2</w:t>
      </w:r>
      <w:r>
        <w:rPr>
          <w:rFonts w:hint="eastAsia" w:ascii="仿宋_GB2312" w:hAnsi="仿宋_GB2312" w:eastAsia="仿宋_GB2312" w:cs="仿宋_GB2312"/>
          <w:color w:val="auto"/>
          <w:sz w:val="28"/>
          <w:szCs w:val="28"/>
          <w:highlight w:val="none"/>
        </w:rPr>
        <w:t>报价单中所列预估租赁量和预估租赁时间仅作为计算总价时的参考依据，不作为合同约定；</w:t>
      </w:r>
    </w:p>
    <w:p w14:paraId="46582DCD">
      <w:pPr>
        <w:adjustRightInd w:val="0"/>
        <w:snapToGrid w:val="0"/>
        <w:spacing w:line="560" w:lineRule="exact"/>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val="0"/>
          <w:bCs/>
          <w:sz w:val="28"/>
          <w:szCs w:val="32"/>
          <w:highlight w:val="none"/>
          <w:lang w:val="en-US" w:eastAsia="zh-CN"/>
        </w:rPr>
        <w:t>▲</w:t>
      </w:r>
      <w:r>
        <w:rPr>
          <w:rFonts w:hint="eastAsia" w:ascii="仿宋_GB2312" w:hAnsi="仿宋_GB2312" w:eastAsia="仿宋_GB2312" w:cs="仿宋_GB2312"/>
          <w:color w:val="auto"/>
          <w:sz w:val="28"/>
          <w:szCs w:val="28"/>
          <w:highlight w:val="none"/>
          <w:lang w:val="en-US" w:eastAsia="zh-CN"/>
        </w:rPr>
        <w:t>2.3</w:t>
      </w:r>
      <w:r>
        <w:rPr>
          <w:rFonts w:hint="eastAsia" w:ascii="仿宋_GB2312" w:hAnsi="仿宋_GB2312" w:eastAsia="仿宋_GB2312" w:cs="仿宋_GB2312"/>
          <w:color w:val="auto"/>
          <w:sz w:val="28"/>
          <w:szCs w:val="28"/>
          <w:highlight w:val="none"/>
        </w:rPr>
        <w:t>本项目结算方式为月结</w:t>
      </w:r>
      <w:r>
        <w:rPr>
          <w:rFonts w:hint="eastAsia" w:ascii="仿宋_GB2312" w:hAnsi="仿宋_GB2312" w:eastAsia="仿宋_GB2312" w:cs="仿宋_GB2312"/>
          <w:color w:val="auto"/>
          <w:sz w:val="28"/>
          <w:szCs w:val="28"/>
          <w:highlight w:val="none"/>
          <w:lang w:val="en-US" w:eastAsia="zh-CN"/>
        </w:rPr>
        <w:t>/季</w:t>
      </w:r>
      <w:r>
        <w:rPr>
          <w:rFonts w:hint="eastAsia" w:ascii="仿宋_GB2312" w:hAnsi="仿宋_GB2312" w:eastAsia="仿宋_GB2312" w:cs="仿宋_GB2312"/>
          <w:color w:val="auto"/>
          <w:sz w:val="28"/>
          <w:szCs w:val="28"/>
          <w:highlight w:val="none"/>
        </w:rPr>
        <w:t>结，</w:t>
      </w:r>
      <w:r>
        <w:rPr>
          <w:rFonts w:hint="eastAsia" w:ascii="仿宋_GB2312" w:hAnsi="仿宋_GB2312" w:eastAsia="仿宋_GB2312" w:cs="仿宋_GB2312"/>
          <w:color w:val="auto"/>
          <w:sz w:val="28"/>
          <w:szCs w:val="28"/>
          <w:highlight w:val="none"/>
          <w:lang w:val="en-US" w:eastAsia="zh-CN"/>
        </w:rPr>
        <w:t>短租</w:t>
      </w:r>
      <w:r>
        <w:rPr>
          <w:rFonts w:hint="eastAsia" w:ascii="仿宋_GB2312" w:hAnsi="仿宋_GB2312" w:eastAsia="仿宋_GB2312" w:cs="仿宋_GB2312"/>
          <w:color w:val="auto"/>
          <w:sz w:val="28"/>
          <w:szCs w:val="28"/>
          <w:highlight w:val="none"/>
        </w:rPr>
        <w:t>以实际发生的</w:t>
      </w:r>
      <w:r>
        <w:rPr>
          <w:rFonts w:hint="eastAsia" w:ascii="仿宋_GB2312" w:hAnsi="仿宋_GB2312" w:eastAsia="仿宋_GB2312" w:cs="仿宋_GB2312"/>
          <w:color w:val="auto"/>
          <w:sz w:val="28"/>
          <w:szCs w:val="28"/>
          <w:highlight w:val="none"/>
          <w:lang w:val="en-US" w:eastAsia="zh-CN"/>
        </w:rPr>
        <w:t>用车</w:t>
      </w:r>
      <w:r>
        <w:rPr>
          <w:rFonts w:hint="eastAsia" w:ascii="仿宋_GB2312" w:hAnsi="仿宋_GB2312" w:eastAsia="仿宋_GB2312" w:cs="仿宋_GB2312"/>
          <w:color w:val="auto"/>
          <w:sz w:val="28"/>
          <w:szCs w:val="28"/>
          <w:highlight w:val="none"/>
        </w:rPr>
        <w:t>时间计算，租赁时间</w:t>
      </w:r>
      <w:r>
        <w:rPr>
          <w:rFonts w:hint="eastAsia" w:ascii="仿宋_GB2312" w:hAnsi="仿宋_GB2312" w:eastAsia="仿宋_GB2312" w:cs="仿宋_GB2312"/>
          <w:b/>
          <w:color w:val="auto"/>
          <w:sz w:val="28"/>
          <w:szCs w:val="28"/>
          <w:highlight w:val="none"/>
        </w:rPr>
        <w:t>最小单位为半天或半月</w:t>
      </w:r>
      <w:r>
        <w:rPr>
          <w:rFonts w:hint="eastAsia" w:ascii="仿宋_GB2312" w:hAnsi="仿宋_GB2312" w:eastAsia="仿宋_GB2312" w:cs="仿宋_GB2312"/>
          <w:color w:val="auto"/>
          <w:sz w:val="28"/>
          <w:szCs w:val="28"/>
          <w:highlight w:val="none"/>
        </w:rPr>
        <w:t>。</w:t>
      </w:r>
    </w:p>
    <w:p w14:paraId="07F20B12">
      <w:pPr>
        <w:sectPr>
          <w:pgSz w:w="11906" w:h="16838"/>
          <w:pgMar w:top="1440" w:right="1800" w:bottom="1440" w:left="1800" w:header="851" w:footer="992" w:gutter="0"/>
          <w:cols w:space="425" w:num="1"/>
          <w:docGrid w:type="lines" w:linePitch="312" w:charSpace="0"/>
        </w:sectPr>
      </w:pPr>
      <w:r>
        <w:br w:type="page"/>
      </w:r>
    </w:p>
    <w:p w14:paraId="195A09A1">
      <w:pPr>
        <w:spacing w:line="480" w:lineRule="atLeast"/>
        <w:jc w:val="center"/>
        <w:rPr>
          <w:rFonts w:hint="default" w:ascii="仿宋_GB2312" w:hAnsi="仿宋_GB2312" w:eastAsia="仿宋_GB2312" w:cs="仿宋_GB2312"/>
          <w:b/>
          <w:spacing w:val="4"/>
          <w:sz w:val="36"/>
          <w:szCs w:val="28"/>
          <w:highlight w:val="none"/>
          <w:lang w:val="en-US" w:eastAsia="zh-CN"/>
        </w:rPr>
      </w:pPr>
      <w:r>
        <w:rPr>
          <w:rFonts w:hint="eastAsia" w:ascii="仿宋_GB2312" w:hAnsi="仿宋_GB2312" w:eastAsia="仿宋_GB2312" w:cs="仿宋_GB2312"/>
          <w:b/>
          <w:spacing w:val="4"/>
          <w:sz w:val="36"/>
          <w:szCs w:val="28"/>
          <w:highlight w:val="none"/>
          <w:lang w:val="en-US" w:eastAsia="zh-CN"/>
        </w:rPr>
        <w:t>预计租车数量及时长</w:t>
      </w:r>
    </w:p>
    <w:tbl>
      <w:tblPr>
        <w:tblStyle w:val="4"/>
        <w:tblpPr w:leftFromText="180" w:rightFromText="180" w:vertAnchor="text" w:horzAnchor="page" w:tblpX="2065" w:tblpY="70"/>
        <w:tblOverlap w:val="never"/>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388"/>
        <w:gridCol w:w="4714"/>
        <w:gridCol w:w="2897"/>
        <w:gridCol w:w="3172"/>
      </w:tblGrid>
      <w:tr w14:paraId="5E919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858" w:type="pct"/>
            <w:gridSpan w:val="2"/>
            <w:vMerge w:val="restart"/>
            <w:vAlign w:val="center"/>
          </w:tcPr>
          <w:p w14:paraId="3252BECC">
            <w:pPr>
              <w:spacing w:line="480" w:lineRule="atLeast"/>
              <w:jc w:val="center"/>
              <w:rPr>
                <w:rFonts w:hint="eastAsia" w:ascii="仿宋_GB2312" w:hAnsi="仿宋_GB2312" w:eastAsia="仿宋_GB2312" w:cs="仿宋_GB2312"/>
                <w:b/>
                <w:spacing w:val="4"/>
                <w:sz w:val="32"/>
                <w:szCs w:val="28"/>
                <w:highlight w:val="none"/>
              </w:rPr>
            </w:pPr>
            <w:r>
              <w:rPr>
                <w:rFonts w:hint="eastAsia" w:ascii="仿宋_GB2312" w:hAnsi="仿宋_GB2312" w:eastAsia="仿宋_GB2312" w:cs="仿宋_GB2312"/>
                <w:b/>
                <w:spacing w:val="4"/>
                <w:sz w:val="32"/>
                <w:szCs w:val="28"/>
                <w:highlight w:val="none"/>
              </w:rPr>
              <w:t>参考车型</w:t>
            </w:r>
          </w:p>
        </w:tc>
        <w:tc>
          <w:tcPr>
            <w:tcW w:w="1022" w:type="pct"/>
            <w:vMerge w:val="restart"/>
            <w:vAlign w:val="center"/>
          </w:tcPr>
          <w:p w14:paraId="3D57E7FC">
            <w:pPr>
              <w:spacing w:line="480" w:lineRule="atLeast"/>
              <w:jc w:val="center"/>
              <w:rPr>
                <w:rFonts w:hint="eastAsia" w:ascii="仿宋_GB2312" w:hAnsi="仿宋_GB2312" w:eastAsia="仿宋_GB2312" w:cs="仿宋_GB2312"/>
                <w:b/>
                <w:spacing w:val="4"/>
                <w:sz w:val="32"/>
                <w:szCs w:val="28"/>
                <w:highlight w:val="none"/>
              </w:rPr>
            </w:pPr>
            <w:r>
              <w:rPr>
                <w:rFonts w:hint="eastAsia" w:ascii="仿宋_GB2312" w:hAnsi="仿宋_GB2312" w:eastAsia="仿宋_GB2312" w:cs="仿宋_GB2312"/>
                <w:b/>
                <w:spacing w:val="4"/>
                <w:sz w:val="32"/>
                <w:szCs w:val="28"/>
                <w:highlight w:val="none"/>
              </w:rPr>
              <w:t>预估租赁量</w:t>
            </w:r>
          </w:p>
        </w:tc>
        <w:tc>
          <w:tcPr>
            <w:tcW w:w="1119" w:type="pct"/>
            <w:vMerge w:val="restart"/>
            <w:vAlign w:val="center"/>
          </w:tcPr>
          <w:p w14:paraId="6D61E637">
            <w:pPr>
              <w:spacing w:line="480" w:lineRule="atLeast"/>
              <w:jc w:val="center"/>
              <w:rPr>
                <w:rFonts w:hint="eastAsia" w:ascii="仿宋_GB2312" w:hAnsi="仿宋_GB2312" w:eastAsia="仿宋_GB2312" w:cs="仿宋_GB2312"/>
                <w:b/>
                <w:spacing w:val="4"/>
                <w:sz w:val="32"/>
                <w:szCs w:val="28"/>
                <w:highlight w:val="none"/>
              </w:rPr>
            </w:pPr>
            <w:r>
              <w:rPr>
                <w:rFonts w:hint="eastAsia" w:ascii="仿宋_GB2312" w:hAnsi="仿宋_GB2312" w:eastAsia="仿宋_GB2312" w:cs="仿宋_GB2312"/>
                <w:b/>
                <w:spacing w:val="4"/>
                <w:sz w:val="32"/>
                <w:szCs w:val="28"/>
                <w:highlight w:val="none"/>
              </w:rPr>
              <w:t>预估租赁时间</w:t>
            </w:r>
          </w:p>
        </w:tc>
      </w:tr>
      <w:tr w14:paraId="7CFA9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2858" w:type="pct"/>
            <w:gridSpan w:val="2"/>
            <w:vMerge w:val="continue"/>
            <w:vAlign w:val="center"/>
          </w:tcPr>
          <w:p w14:paraId="7C9AEFD4">
            <w:pPr>
              <w:spacing w:line="480" w:lineRule="atLeast"/>
              <w:jc w:val="center"/>
              <w:rPr>
                <w:rFonts w:hint="eastAsia" w:ascii="仿宋_GB2312" w:hAnsi="仿宋_GB2312" w:eastAsia="仿宋_GB2312" w:cs="仿宋_GB2312"/>
                <w:b/>
                <w:spacing w:val="4"/>
                <w:sz w:val="32"/>
                <w:szCs w:val="28"/>
                <w:highlight w:val="none"/>
              </w:rPr>
            </w:pPr>
          </w:p>
        </w:tc>
        <w:tc>
          <w:tcPr>
            <w:tcW w:w="1022" w:type="pct"/>
            <w:vMerge w:val="continue"/>
            <w:vAlign w:val="center"/>
          </w:tcPr>
          <w:p w14:paraId="667E86A7">
            <w:pPr>
              <w:spacing w:line="480" w:lineRule="atLeast"/>
              <w:jc w:val="center"/>
              <w:rPr>
                <w:rFonts w:hint="eastAsia" w:ascii="仿宋_GB2312" w:hAnsi="仿宋_GB2312" w:eastAsia="仿宋_GB2312" w:cs="仿宋_GB2312"/>
                <w:b/>
                <w:spacing w:val="4"/>
                <w:sz w:val="32"/>
                <w:szCs w:val="28"/>
                <w:highlight w:val="none"/>
              </w:rPr>
            </w:pPr>
          </w:p>
        </w:tc>
        <w:tc>
          <w:tcPr>
            <w:tcW w:w="1119" w:type="pct"/>
            <w:vMerge w:val="continue"/>
            <w:vAlign w:val="center"/>
          </w:tcPr>
          <w:p w14:paraId="6B56C88F">
            <w:pPr>
              <w:spacing w:line="480" w:lineRule="atLeast"/>
              <w:jc w:val="center"/>
              <w:rPr>
                <w:rFonts w:hint="eastAsia" w:ascii="仿宋_GB2312" w:hAnsi="仿宋_GB2312" w:eastAsia="仿宋_GB2312" w:cs="仿宋_GB2312"/>
                <w:b/>
                <w:spacing w:val="4"/>
                <w:sz w:val="32"/>
                <w:szCs w:val="28"/>
                <w:highlight w:val="none"/>
              </w:rPr>
            </w:pPr>
          </w:p>
        </w:tc>
      </w:tr>
      <w:tr w14:paraId="4D976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pct"/>
            <w:vAlign w:val="center"/>
          </w:tcPr>
          <w:p w14:paraId="37F3CF06">
            <w:pPr>
              <w:spacing w:line="480" w:lineRule="atLeast"/>
              <w:jc w:val="center"/>
              <w:rPr>
                <w:rFonts w:hint="eastAsia" w:ascii="仿宋_GB2312" w:hAnsi="仿宋_GB2312" w:eastAsia="仿宋_GB2312" w:cs="仿宋_GB2312"/>
                <w:spacing w:val="4"/>
                <w:sz w:val="28"/>
                <w:szCs w:val="28"/>
                <w:highlight w:val="none"/>
                <w:lang w:val="en-US" w:eastAsia="zh-CN"/>
              </w:rPr>
            </w:pPr>
            <w:r>
              <w:rPr>
                <w:rFonts w:hint="eastAsia" w:ascii="仿宋_GB2312" w:hAnsi="仿宋_GB2312" w:eastAsia="仿宋_GB2312" w:cs="仿宋_GB2312"/>
                <w:spacing w:val="4"/>
                <w:sz w:val="28"/>
                <w:szCs w:val="28"/>
                <w:highlight w:val="none"/>
                <w:lang w:val="en-US" w:eastAsia="zh-CN"/>
              </w:rPr>
              <w:t>轿车</w:t>
            </w:r>
          </w:p>
        </w:tc>
        <w:tc>
          <w:tcPr>
            <w:tcW w:w="1662" w:type="pct"/>
            <w:vAlign w:val="center"/>
          </w:tcPr>
          <w:p w14:paraId="76DB4730">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rPr>
              <w:t>宝来/捷达</w:t>
            </w:r>
          </w:p>
        </w:tc>
        <w:tc>
          <w:tcPr>
            <w:tcW w:w="1022" w:type="pct"/>
            <w:vAlign w:val="center"/>
          </w:tcPr>
          <w:p w14:paraId="051EB05D">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25</w:t>
            </w:r>
            <w:r>
              <w:rPr>
                <w:rFonts w:hint="eastAsia" w:ascii="仿宋_GB2312" w:hAnsi="仿宋_GB2312" w:eastAsia="仿宋_GB2312" w:cs="仿宋_GB2312"/>
                <w:spacing w:val="4"/>
                <w:sz w:val="28"/>
                <w:szCs w:val="28"/>
                <w:highlight w:val="none"/>
              </w:rPr>
              <w:t>辆</w:t>
            </w:r>
          </w:p>
        </w:tc>
        <w:tc>
          <w:tcPr>
            <w:tcW w:w="1119" w:type="pct"/>
            <w:vAlign w:val="center"/>
          </w:tcPr>
          <w:p w14:paraId="0DA73A45">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10</w:t>
            </w:r>
            <w:r>
              <w:rPr>
                <w:rFonts w:hint="eastAsia" w:ascii="仿宋_GB2312" w:hAnsi="仿宋_GB2312" w:eastAsia="仿宋_GB2312" w:cs="仿宋_GB2312"/>
                <w:spacing w:val="4"/>
                <w:sz w:val="28"/>
                <w:szCs w:val="28"/>
                <w:highlight w:val="none"/>
              </w:rPr>
              <w:t>个月</w:t>
            </w:r>
          </w:p>
        </w:tc>
      </w:tr>
      <w:tr w14:paraId="72E5A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pct"/>
            <w:vAlign w:val="center"/>
          </w:tcPr>
          <w:p w14:paraId="1E70C70A">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轿车</w:t>
            </w:r>
          </w:p>
        </w:tc>
        <w:tc>
          <w:tcPr>
            <w:tcW w:w="1662" w:type="pct"/>
            <w:vAlign w:val="center"/>
          </w:tcPr>
          <w:p w14:paraId="7928BEA5">
            <w:pPr>
              <w:spacing w:line="480" w:lineRule="atLeast"/>
              <w:jc w:val="center"/>
              <w:rPr>
                <w:rFonts w:hint="eastAsia" w:ascii="仿宋_GB2312" w:hAnsi="仿宋_GB2312" w:eastAsia="仿宋_GB2312" w:cs="仿宋_GB2312"/>
                <w:spacing w:val="4"/>
                <w:kern w:val="2"/>
                <w:sz w:val="28"/>
                <w:szCs w:val="28"/>
                <w:highlight w:val="none"/>
                <w:lang w:val="en-US" w:eastAsia="zh-CN" w:bidi="ar-SA"/>
              </w:rPr>
            </w:pPr>
            <w:r>
              <w:rPr>
                <w:rFonts w:hint="eastAsia" w:ascii="仿宋_GB2312" w:hAnsi="仿宋_GB2312" w:eastAsia="仿宋_GB2312" w:cs="仿宋_GB2312"/>
                <w:spacing w:val="4"/>
                <w:sz w:val="28"/>
                <w:szCs w:val="28"/>
                <w:highlight w:val="none"/>
              </w:rPr>
              <w:t>宝来/捷达</w:t>
            </w:r>
          </w:p>
        </w:tc>
        <w:tc>
          <w:tcPr>
            <w:tcW w:w="1022" w:type="pct"/>
            <w:vAlign w:val="center"/>
          </w:tcPr>
          <w:p w14:paraId="5FA973AC">
            <w:pPr>
              <w:spacing w:line="480" w:lineRule="atLeast"/>
              <w:jc w:val="center"/>
              <w:rPr>
                <w:rFonts w:hint="eastAsia" w:ascii="仿宋_GB2312" w:hAnsi="仿宋_GB2312" w:eastAsia="仿宋_GB2312" w:cs="仿宋_GB2312"/>
                <w:spacing w:val="4"/>
                <w:kern w:val="2"/>
                <w:sz w:val="28"/>
                <w:szCs w:val="28"/>
                <w:highlight w:val="none"/>
                <w:lang w:val="en-US" w:eastAsia="zh-CN" w:bidi="ar-SA"/>
              </w:rPr>
            </w:pPr>
            <w:r>
              <w:rPr>
                <w:rFonts w:hint="eastAsia" w:ascii="仿宋_GB2312" w:hAnsi="仿宋_GB2312" w:eastAsia="仿宋_GB2312" w:cs="仿宋_GB2312"/>
                <w:spacing w:val="4"/>
                <w:sz w:val="28"/>
                <w:szCs w:val="28"/>
                <w:highlight w:val="none"/>
                <w:lang w:val="en-US" w:eastAsia="zh-CN"/>
              </w:rPr>
              <w:t>4</w:t>
            </w:r>
            <w:r>
              <w:rPr>
                <w:rFonts w:hint="eastAsia" w:ascii="仿宋_GB2312" w:hAnsi="仿宋_GB2312" w:eastAsia="仿宋_GB2312" w:cs="仿宋_GB2312"/>
                <w:spacing w:val="4"/>
                <w:sz w:val="28"/>
                <w:szCs w:val="28"/>
                <w:highlight w:val="none"/>
              </w:rPr>
              <w:t>辆</w:t>
            </w:r>
          </w:p>
        </w:tc>
        <w:tc>
          <w:tcPr>
            <w:tcW w:w="1119" w:type="pct"/>
            <w:vAlign w:val="center"/>
          </w:tcPr>
          <w:p w14:paraId="5A2EAE08">
            <w:pPr>
              <w:spacing w:line="480" w:lineRule="atLeast"/>
              <w:jc w:val="center"/>
              <w:rPr>
                <w:rFonts w:hint="default" w:ascii="仿宋_GB2312" w:hAnsi="仿宋_GB2312" w:eastAsia="仿宋_GB2312" w:cs="仿宋_GB2312"/>
                <w:spacing w:val="4"/>
                <w:kern w:val="2"/>
                <w:sz w:val="28"/>
                <w:szCs w:val="28"/>
                <w:highlight w:val="none"/>
                <w:lang w:val="en-US" w:eastAsia="zh-CN" w:bidi="ar-SA"/>
              </w:rPr>
            </w:pPr>
            <w:r>
              <w:rPr>
                <w:rFonts w:hint="eastAsia" w:ascii="仿宋_GB2312" w:hAnsi="仿宋_GB2312" w:eastAsia="仿宋_GB2312" w:cs="仿宋_GB2312"/>
                <w:spacing w:val="4"/>
                <w:sz w:val="28"/>
                <w:szCs w:val="28"/>
                <w:highlight w:val="none"/>
                <w:lang w:val="en-US" w:eastAsia="zh-CN"/>
              </w:rPr>
              <w:t>180天</w:t>
            </w:r>
          </w:p>
        </w:tc>
      </w:tr>
      <w:tr w14:paraId="12881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pct"/>
            <w:vAlign w:val="center"/>
          </w:tcPr>
          <w:p w14:paraId="3539CA54">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轿车</w:t>
            </w:r>
          </w:p>
        </w:tc>
        <w:tc>
          <w:tcPr>
            <w:tcW w:w="1662" w:type="pct"/>
            <w:vAlign w:val="center"/>
          </w:tcPr>
          <w:p w14:paraId="7610F60F">
            <w:pPr>
              <w:spacing w:line="480" w:lineRule="atLeast"/>
              <w:jc w:val="center"/>
              <w:rPr>
                <w:rFonts w:hint="eastAsia" w:ascii="仿宋_GB2312" w:hAnsi="仿宋_GB2312" w:eastAsia="仿宋_GB2312" w:cs="仿宋_GB2312"/>
                <w:spacing w:val="4"/>
                <w:sz w:val="28"/>
                <w:szCs w:val="28"/>
                <w:highlight w:val="none"/>
                <w:lang w:eastAsia="zh-CN"/>
              </w:rPr>
            </w:pPr>
            <w:r>
              <w:rPr>
                <w:rFonts w:hint="eastAsia" w:ascii="仿宋_GB2312" w:hAnsi="仿宋_GB2312" w:eastAsia="仿宋_GB2312" w:cs="仿宋_GB2312"/>
                <w:spacing w:val="4"/>
                <w:sz w:val="28"/>
                <w:szCs w:val="28"/>
                <w:highlight w:val="none"/>
                <w:lang w:val="en-US" w:eastAsia="zh-CN"/>
              </w:rPr>
              <w:t>帕萨特</w:t>
            </w:r>
          </w:p>
        </w:tc>
        <w:tc>
          <w:tcPr>
            <w:tcW w:w="1022" w:type="pct"/>
            <w:vAlign w:val="center"/>
          </w:tcPr>
          <w:p w14:paraId="2BFF0CD2">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rPr>
              <w:t>1辆</w:t>
            </w:r>
          </w:p>
        </w:tc>
        <w:tc>
          <w:tcPr>
            <w:tcW w:w="1119" w:type="pct"/>
            <w:vAlign w:val="center"/>
          </w:tcPr>
          <w:p w14:paraId="0EE51ED7">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20</w:t>
            </w:r>
            <w:r>
              <w:rPr>
                <w:rFonts w:hint="eastAsia" w:ascii="仿宋_GB2312" w:hAnsi="仿宋_GB2312" w:eastAsia="仿宋_GB2312" w:cs="仿宋_GB2312"/>
                <w:spacing w:val="4"/>
                <w:sz w:val="28"/>
                <w:szCs w:val="28"/>
                <w:highlight w:val="none"/>
              </w:rPr>
              <w:t>天</w:t>
            </w:r>
          </w:p>
        </w:tc>
      </w:tr>
      <w:tr w14:paraId="781D7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95" w:type="pct"/>
            <w:vAlign w:val="center"/>
          </w:tcPr>
          <w:p w14:paraId="111C5890">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rPr>
              <w:t>越野车</w:t>
            </w:r>
          </w:p>
        </w:tc>
        <w:tc>
          <w:tcPr>
            <w:tcW w:w="1662" w:type="pct"/>
            <w:vAlign w:val="center"/>
          </w:tcPr>
          <w:p w14:paraId="0ADADAA9">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rPr>
              <w:t>丰田汉兰达</w:t>
            </w:r>
          </w:p>
        </w:tc>
        <w:tc>
          <w:tcPr>
            <w:tcW w:w="1022" w:type="pct"/>
            <w:vAlign w:val="center"/>
          </w:tcPr>
          <w:p w14:paraId="77C5FCA7">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3</w:t>
            </w:r>
            <w:r>
              <w:rPr>
                <w:rFonts w:hint="eastAsia" w:ascii="仿宋_GB2312" w:hAnsi="仿宋_GB2312" w:eastAsia="仿宋_GB2312" w:cs="仿宋_GB2312"/>
                <w:spacing w:val="4"/>
                <w:sz w:val="28"/>
                <w:szCs w:val="28"/>
                <w:highlight w:val="none"/>
              </w:rPr>
              <w:t>辆</w:t>
            </w:r>
          </w:p>
        </w:tc>
        <w:tc>
          <w:tcPr>
            <w:tcW w:w="1119" w:type="pct"/>
            <w:vAlign w:val="center"/>
          </w:tcPr>
          <w:p w14:paraId="05379E92">
            <w:pPr>
              <w:spacing w:line="480" w:lineRule="atLeast"/>
              <w:jc w:val="center"/>
              <w:rPr>
                <w:rFonts w:hint="eastAsia" w:ascii="仿宋_GB2312" w:hAnsi="仿宋_GB2312" w:eastAsia="仿宋_GB2312" w:cs="仿宋_GB2312"/>
                <w:spacing w:val="4"/>
                <w:sz w:val="28"/>
                <w:szCs w:val="28"/>
                <w:highlight w:val="none"/>
              </w:rPr>
            </w:pPr>
            <w:r>
              <w:rPr>
                <w:rFonts w:hint="eastAsia" w:ascii="仿宋_GB2312" w:hAnsi="仿宋_GB2312" w:eastAsia="仿宋_GB2312" w:cs="仿宋_GB2312"/>
                <w:spacing w:val="4"/>
                <w:sz w:val="28"/>
                <w:szCs w:val="28"/>
                <w:highlight w:val="none"/>
                <w:lang w:val="en-US" w:eastAsia="zh-CN"/>
              </w:rPr>
              <w:t>25</w:t>
            </w:r>
            <w:r>
              <w:rPr>
                <w:rFonts w:hint="eastAsia" w:ascii="仿宋_GB2312" w:hAnsi="仿宋_GB2312" w:eastAsia="仿宋_GB2312" w:cs="仿宋_GB2312"/>
                <w:spacing w:val="4"/>
                <w:sz w:val="28"/>
                <w:szCs w:val="28"/>
                <w:highlight w:val="none"/>
              </w:rPr>
              <w:t>天</w:t>
            </w:r>
          </w:p>
        </w:tc>
      </w:tr>
    </w:tbl>
    <w:p w14:paraId="697F34DE"/>
    <w:p w14:paraId="6DE51753">
      <w:pPr>
        <w:ind w:firstLine="643" w:firstLineChars="200"/>
        <w:rPr>
          <w:rFonts w:hint="eastAsia" w:ascii="仿宋_GB2312" w:hAnsi="仿宋_GB2312" w:eastAsia="仿宋_GB2312" w:cs="仿宋_GB2312"/>
          <w:b/>
          <w:bCs/>
          <w:sz w:val="32"/>
          <w:szCs w:val="36"/>
          <w:lang w:val="en-US" w:eastAsia="zh-CN"/>
        </w:rPr>
      </w:pPr>
      <w:r>
        <w:rPr>
          <w:rFonts w:hint="eastAsia" w:ascii="仿宋_GB2312" w:hAnsi="仿宋_GB2312" w:eastAsia="仿宋_GB2312" w:cs="仿宋_GB2312"/>
          <w:b/>
          <w:bCs/>
          <w:sz w:val="32"/>
          <w:szCs w:val="36"/>
          <w:lang w:val="en-US" w:eastAsia="zh-CN"/>
        </w:rPr>
        <w:t>注：参考车型非实质性要求，供应商可按同等级车辆响应。</w:t>
      </w: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6"/>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4661428"/>
    <w:rsid w:val="3833370A"/>
    <w:rsid w:val="4A1470AD"/>
    <w:rsid w:val="51932FAD"/>
    <w:rsid w:val="67FC7BA5"/>
    <w:rsid w:val="684E77D6"/>
    <w:rsid w:val="750556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table" w:styleId="4">
    <w:name w:val="Table Grid"/>
    <w:basedOn w:val="3"/>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标题 5（有编号）（绿盟科技）"/>
    <w:basedOn w:val="7"/>
    <w:next w:val="8"/>
    <w:autoRedefine/>
    <w:qFormat/>
    <w:uiPriority w:val="0"/>
    <w:pPr>
      <w:keepNext/>
      <w:keepLines/>
      <w:numPr>
        <w:ilvl w:val="4"/>
        <w:numId w:val="1"/>
      </w:numPr>
      <w:spacing w:before="280" w:after="156" w:line="377" w:lineRule="auto"/>
      <w:jc w:val="left"/>
      <w:outlineLvl w:val="4"/>
    </w:pPr>
    <w:rPr>
      <w:rFonts w:ascii="Arial" w:hAnsi="Arial" w:eastAsia="黑体"/>
      <w:b/>
      <w:sz w:val="24"/>
      <w:szCs w:val="28"/>
    </w:rPr>
  </w:style>
  <w:style w:type="paragraph" w:customStyle="1" w:styleId="7">
    <w:name w:val="正文1"/>
    <w:autoRedefine/>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9">
    <w:name w:val="列表段落1"/>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2</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2026-04-29T00:54:12Z</dcterms:created>
  <dc:creator>123</dc:creator>
  <cp:lastModifiedBy>陈玉梅</cp:lastModifiedBy>
  <dcterms:modified xsi:type="dcterms:W3CDTF">2026-04-29T00:59:05Z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eyJoZGlkIjoiMTU1Mjc5ZGZhYjY1MzliNDhiYjNhMDg4ZmU1OGZkMTkiLCJ1c2VySWQiOiIyNTk4Nzg5MDgifQ==</vt:lpwstr>
  </property>
  <property fmtid="{D5CDD505-2E9C-101B-9397-08002B2CF9AE}" pid="4" name="ICV">
    <vt:lpwstr>49D44E1BE9C9490CA15361EAD7B2F98B_12</vt:lpwstr>
  </property>
</Properties>
</file>